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22D" w:rsidRDefault="001846B4">
      <w:pPr>
        <w:spacing w:after="160"/>
        <w:jc w:val="center"/>
        <w:rPr>
          <w:rFonts w:ascii="Arial" w:eastAsia="Arial" w:hAnsi="Arial"/>
          <w:b/>
          <w:color w:val="2B2B2B"/>
          <w:sz w:val="44"/>
          <w:szCs w:val="44"/>
          <w:shd w:val="clear" w:color="000000" w:fill="F8F8F8"/>
        </w:rPr>
      </w:pPr>
      <w:r>
        <w:rPr>
          <w:rFonts w:ascii="Arial" w:eastAsia="Arial" w:hAnsi="Arial"/>
          <w:b/>
          <w:color w:val="2B2B2B"/>
          <w:sz w:val="44"/>
          <w:szCs w:val="44"/>
          <w:shd w:val="clear" w:color="000000" w:fill="F8F8F8"/>
        </w:rPr>
        <w:t>WF55</w:t>
      </w:r>
      <w:r w:rsidR="00000000">
        <w:rPr>
          <w:rFonts w:ascii="Arial" w:eastAsia="Arial" w:hAnsi="Arial" w:hint="eastAsia"/>
          <w:b/>
          <w:color w:val="2B2B2B"/>
          <w:sz w:val="44"/>
          <w:szCs w:val="44"/>
          <w:shd w:val="clear" w:color="000000" w:fill="F8F8F8"/>
        </w:rPr>
        <w:t>全自动</w:t>
      </w:r>
      <w:r w:rsidR="00000000">
        <w:rPr>
          <w:rFonts w:ascii="Arial" w:eastAsia="宋体" w:hAnsi="Arial" w:hint="eastAsia"/>
          <w:b/>
          <w:color w:val="2B2B2B"/>
          <w:sz w:val="44"/>
          <w:szCs w:val="44"/>
          <w:shd w:val="clear" w:color="000000" w:fill="F8F8F8"/>
        </w:rPr>
        <w:t>脂肪</w:t>
      </w:r>
      <w:r w:rsidR="00000000">
        <w:rPr>
          <w:rFonts w:ascii="Arial" w:eastAsia="Arial" w:hAnsi="Arial"/>
          <w:b/>
          <w:color w:val="2B2B2B"/>
          <w:sz w:val="44"/>
          <w:szCs w:val="44"/>
          <w:shd w:val="clear" w:color="000000" w:fill="F8F8F8"/>
        </w:rPr>
        <w:t>酸值测定仪</w:t>
      </w:r>
    </w:p>
    <w:p w:rsidR="003C468F" w:rsidRDefault="005A170D">
      <w:pPr>
        <w:spacing w:after="160"/>
        <w:jc w:val="center"/>
        <w:rPr>
          <w:rFonts w:ascii="Arial" w:eastAsia="Arial" w:hAnsi="Arial"/>
          <w:b/>
          <w:color w:val="2B2B2B"/>
          <w:sz w:val="44"/>
          <w:szCs w:val="44"/>
          <w:shd w:val="clear" w:color="000000" w:fill="F8F8F8"/>
        </w:rPr>
      </w:pPr>
      <w:r>
        <w:rPr>
          <w:rFonts w:ascii="Arial" w:eastAsia="宋体" w:hAnsi="Arial" w:hint="eastAsia"/>
          <w:b/>
          <w:noProof/>
          <w:color w:val="2B2B2B"/>
          <w:sz w:val="27"/>
          <w:szCs w:val="27"/>
          <w:shd w:val="clear" w:color="000000" w:fill="F8F8F8"/>
        </w:rPr>
        <w:drawing>
          <wp:inline distT="0" distB="0" distL="114300" distR="114300" wp14:anchorId="03400A1B" wp14:editId="4AD04D47">
            <wp:extent cx="2730500" cy="1739900"/>
            <wp:effectExtent l="0" t="0" r="0" b="0"/>
            <wp:docPr id="2" name="图片 2" descr="5a44e49a03bdc5d69129e0aa430b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44e49a03bdc5d69129e0aa430bf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68F" w:rsidRDefault="003C468F">
      <w:pPr>
        <w:spacing w:after="160"/>
        <w:jc w:val="center"/>
        <w:rPr>
          <w:rFonts w:ascii="Arial" w:eastAsia="宋体" w:hAnsi="Arial" w:hint="eastAsia"/>
          <w:b/>
          <w:color w:val="2B2B2B"/>
          <w:sz w:val="27"/>
          <w:szCs w:val="27"/>
          <w:shd w:val="clear" w:color="000000" w:fill="F8F8F8"/>
        </w:rPr>
      </w:pP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Style w:val="a8"/>
          <w:rFonts w:ascii="Helvetica" w:hAnsi="Helvetica"/>
          <w:color w:val="333333"/>
          <w:sz w:val="24"/>
          <w:szCs w:val="24"/>
        </w:rPr>
      </w:pPr>
      <w:r>
        <w:rPr>
          <w:rStyle w:val="a8"/>
          <w:rFonts w:ascii="Helvetica" w:eastAsia="Helvetica" w:hAnsi="Helvetica"/>
          <w:color w:val="333333"/>
          <w:sz w:val="24"/>
          <w:szCs w:val="24"/>
        </w:rPr>
        <w:t>主要</w:t>
      </w:r>
      <w:r>
        <w:rPr>
          <w:rStyle w:val="a8"/>
          <w:rFonts w:ascii="Helvetica" w:hAnsi="Helvetica" w:hint="eastAsia"/>
          <w:color w:val="333333"/>
          <w:sz w:val="24"/>
          <w:szCs w:val="24"/>
        </w:rPr>
        <w:t>创新点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Helvetica" w:eastAsia="Helvetica" w:hAnsi="Helvetica"/>
          <w:color w:val="333333"/>
        </w:rPr>
      </w:pPr>
      <w:r>
        <w:rPr>
          <w:rFonts w:ascii="Helvetica" w:eastAsia="Helvetica" w:hAnsi="Helvetica" w:hint="eastAsia"/>
          <w:color w:val="333333"/>
        </w:rPr>
        <w:t>单通道加液模块，可加配16/20/34工位转盘式自动进样器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Helvetica" w:eastAsia="Helvetica" w:hAnsi="Helvetica"/>
          <w:color w:val="333333"/>
        </w:rPr>
      </w:pPr>
      <w:r>
        <w:rPr>
          <w:rFonts w:ascii="Helvetica" w:eastAsia="Helvetica" w:hAnsi="Helvetica"/>
          <w:color w:val="333333"/>
        </w:rPr>
        <w:t>可驱动</w:t>
      </w:r>
      <w:r>
        <w:rPr>
          <w:rFonts w:ascii="Helvetica" w:eastAsia="Helvetica" w:hAnsi="Helvetica" w:hint="eastAsia"/>
          <w:color w:val="333333"/>
        </w:rPr>
        <w:t>加液模块单元，滴定管及管线应能耐酸耐碱耐腐蚀。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Helvetica" w:eastAsia="Helvetica" w:hAnsi="Helvetica"/>
          <w:color w:val="333333"/>
        </w:rPr>
      </w:pPr>
      <w:r>
        <w:rPr>
          <w:color w:val="333333"/>
        </w:rPr>
        <w:t>进口</w:t>
      </w:r>
      <w:r>
        <w:rPr>
          <w:rFonts w:hint="eastAsia"/>
          <w:color w:val="333333"/>
        </w:rPr>
        <w:t>耐腐型聚四氟旋转</w:t>
      </w:r>
      <w:r>
        <w:rPr>
          <w:color w:val="333333"/>
        </w:rPr>
        <w:t>阀，</w:t>
      </w:r>
      <w:r>
        <w:rPr>
          <w:rFonts w:ascii="Helvetica" w:eastAsia="Helvetica" w:hAnsi="Helvetica"/>
          <w:color w:val="333333"/>
        </w:rPr>
        <w:t>PTFE耐腐蚀</w:t>
      </w:r>
      <w:r>
        <w:rPr>
          <w:color w:val="333333"/>
        </w:rPr>
        <w:t>滴定管，大功率搅拌台，采用线圈实现磁力搅拌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Helvetica" w:eastAsia="Helvetica" w:hAnsi="Helvetica"/>
          <w:color w:val="333333"/>
        </w:rPr>
      </w:pPr>
      <w:r>
        <w:rPr>
          <w:color w:val="333333"/>
        </w:rPr>
        <w:t>高精确闭环控制，确保精确滴定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hint="eastAsia"/>
          <w:color w:val="333333"/>
        </w:rPr>
        <w:t>滴定管加液分辨率为</w:t>
      </w:r>
      <w:r>
        <w:rPr>
          <w:color w:val="333333"/>
        </w:rPr>
        <w:t>1uL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color w:val="333333"/>
        </w:rPr>
        <w:t>可自动计算结果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hint="eastAsia"/>
          <w:color w:val="333333"/>
        </w:rPr>
        <w:t>开机自动检查仪器状态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Helvetica" w:eastAsia="Helvetica" w:hAnsi="Helvetica"/>
          <w:color w:val="333333"/>
        </w:rPr>
      </w:pPr>
      <w:r>
        <w:rPr>
          <w:color w:val="333333"/>
        </w:rPr>
        <w:t>整体管路全密封设计，更换快捷方便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ascii="Helvetica" w:hAnsi="Helvetica" w:hint="eastAsia"/>
          <w:color w:val="333333"/>
        </w:rPr>
        <w:t>实时</w:t>
      </w:r>
      <w:r>
        <w:rPr>
          <w:color w:val="333333"/>
        </w:rPr>
        <w:t>显示</w:t>
      </w:r>
      <w:r>
        <w:rPr>
          <w:color w:val="333333"/>
          <w:sz w:val="21"/>
          <w:szCs w:val="21"/>
        </w:rPr>
        <w:t>滴定曲线和测量结果，</w:t>
      </w:r>
      <w:r>
        <w:rPr>
          <w:color w:val="333333"/>
        </w:rPr>
        <w:t>方便操作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Calibri" w:eastAsia="Calibri" w:hAnsi="Calibri"/>
          <w:color w:val="333333"/>
          <w:sz w:val="21"/>
          <w:szCs w:val="21"/>
        </w:rPr>
      </w:pPr>
      <w:r>
        <w:rPr>
          <w:rFonts w:ascii="Calibri" w:eastAsia="Calibri" w:hAnsi="Calibri"/>
          <w:color w:val="333333"/>
          <w:sz w:val="21"/>
          <w:szCs w:val="21"/>
        </w:rPr>
        <w:t>支持酸碱滴定、氧化还原滴定、沉淀滴定、络合滴定、非水滴定等多种滴定方法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hint="eastAsia"/>
          <w:color w:val="333333"/>
        </w:rPr>
        <w:t>符合GMP规范，滴定结果符合GLP要求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hint="eastAsia"/>
          <w:color w:val="333333"/>
        </w:rPr>
        <w:t>自动上样，自动清洗管路，自动测出实验结果，自动记录和绘制滴定时pH-滴定体积实时变化曲线。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hint="eastAsia"/>
          <w:color w:val="333333"/>
        </w:rPr>
        <w:t>符合2020版药典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color w:val="333333"/>
        </w:rPr>
        <w:t>具备全面的多级用户权限管理功能</w:t>
      </w:r>
      <w:r>
        <w:rPr>
          <w:rFonts w:hint="eastAsia"/>
          <w:color w:val="333333"/>
        </w:rPr>
        <w:t>，</w:t>
      </w:r>
      <w:r>
        <w:rPr>
          <w:color w:val="333333"/>
        </w:rPr>
        <w:t>实现审计追踪和权限管理的功能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Style w:val="a8"/>
          <w:rFonts w:ascii="Helvetica" w:eastAsia="Helvetica" w:hAnsi="Helvetica"/>
          <w:color w:val="333333"/>
          <w:sz w:val="24"/>
          <w:szCs w:val="24"/>
        </w:rPr>
      </w:pPr>
      <w:r>
        <w:rPr>
          <w:rStyle w:val="a8"/>
          <w:rFonts w:ascii="Helvetica" w:eastAsia="Helvetica" w:hAnsi="Helvetica" w:hint="eastAsia"/>
          <w:color w:val="333333"/>
          <w:sz w:val="24"/>
          <w:szCs w:val="24"/>
        </w:rPr>
        <w:t>应用领域：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hint="eastAsia"/>
          <w:color w:val="333333"/>
        </w:rPr>
        <w:t xml:space="preserve"> 酸碱滴定，例如：草酸（水相/非水相）含量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hint="eastAsia"/>
          <w:color w:val="333333"/>
        </w:rPr>
        <w:t>氧化还原滴定，例如：碘值、铁（II）含量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hint="eastAsia"/>
          <w:color w:val="333333"/>
        </w:rPr>
        <w:t xml:space="preserve"> 沉淀滴定，例如：氯化物含量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color w:val="333333"/>
        </w:rPr>
      </w:pPr>
      <w:r>
        <w:rPr>
          <w:rFonts w:hint="eastAsia"/>
          <w:color w:val="333333"/>
        </w:rPr>
        <w:t xml:space="preserve"> 络合滴定，例如：钙含量、</w:t>
      </w:r>
    </w:p>
    <w:p w:rsidR="00D6022D" w:rsidRDefault="0000000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75" w:line="330" w:lineRule="atLeast"/>
        <w:jc w:val="left"/>
        <w:rPr>
          <w:rFonts w:ascii="Arial" w:eastAsia="Arial" w:hAnsi="Arial"/>
          <w:b/>
          <w:color w:val="2B2B2B"/>
          <w:sz w:val="27"/>
          <w:szCs w:val="27"/>
          <w:shd w:val="clear" w:color="000000" w:fill="F8F8F8"/>
        </w:rPr>
      </w:pPr>
      <w:r>
        <w:rPr>
          <w:rFonts w:hint="eastAsia"/>
          <w:color w:val="333333"/>
        </w:rPr>
        <w:lastRenderedPageBreak/>
        <w:t xml:space="preserve"> 用极化电极（</w:t>
      </w:r>
      <w:proofErr w:type="spellStart"/>
      <w:r>
        <w:rPr>
          <w:rFonts w:hint="eastAsia"/>
          <w:color w:val="333333"/>
        </w:rPr>
        <w:t>Ipol</w:t>
      </w:r>
      <w:proofErr w:type="spellEnd"/>
      <w:r>
        <w:rPr>
          <w:rFonts w:hint="eastAsia"/>
          <w:color w:val="333333"/>
        </w:rPr>
        <w:t>，</w:t>
      </w:r>
      <w:proofErr w:type="spellStart"/>
      <w:r>
        <w:rPr>
          <w:rFonts w:hint="eastAsia"/>
          <w:color w:val="333333"/>
        </w:rPr>
        <w:t>Upol</w:t>
      </w:r>
      <w:proofErr w:type="spellEnd"/>
      <w:r>
        <w:rPr>
          <w:rFonts w:hint="eastAsia"/>
          <w:color w:val="333333"/>
        </w:rPr>
        <w:t>）滴定</w:t>
      </w:r>
    </w:p>
    <w:p w:rsidR="00D6022D" w:rsidRDefault="00000000">
      <w:pPr>
        <w:spacing w:after="160"/>
        <w:rPr>
          <w:rFonts w:ascii="Arial" w:eastAsia="Arial" w:hAnsi="Arial"/>
          <w:b/>
          <w:color w:val="2B2B2B"/>
          <w:sz w:val="27"/>
          <w:szCs w:val="27"/>
          <w:shd w:val="clear" w:color="000000" w:fill="F8F8F8"/>
        </w:rPr>
      </w:pPr>
      <w:r>
        <w:rPr>
          <w:rFonts w:ascii="Arial" w:eastAsia="Arial" w:hAnsi="Arial"/>
          <w:b/>
          <w:color w:val="2B2B2B"/>
          <w:sz w:val="27"/>
          <w:szCs w:val="27"/>
          <w:shd w:val="clear" w:color="000000" w:fill="F8F8F8"/>
        </w:rPr>
        <w:t>技术参数</w:t>
      </w:r>
    </w:p>
    <w:tbl>
      <w:tblPr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095"/>
      </w:tblGrid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测量范围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-2000.0MV～+2000.0MV</w:t>
            </w:r>
          </w:p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-20.000PH～+20.000PH</w:t>
            </w:r>
          </w:p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  <w:t>0.0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01</w:t>
            </w:r>
            <w:r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  <w:t>0mgKOH/g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测量分辨率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分辨率0.1MV     精度0.1mV±0.03%</w:t>
            </w:r>
          </w:p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  <w:t>0.0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01</w:t>
            </w:r>
            <w:r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  <w:t>mgKOH/g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pH测量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分辨率0.001pH   精度0.003pH</w:t>
            </w:r>
          </w:p>
        </w:tc>
      </w:tr>
      <w:tr w:rsidR="00D6022D">
        <w:trPr>
          <w:trHeight w:val="571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bidi="ar"/>
              </w:rPr>
              <w:t>滴定体积精度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bidi="ar"/>
              </w:rPr>
              <w:t>0.001mL</w:t>
            </w:r>
          </w:p>
        </w:tc>
      </w:tr>
      <w:tr w:rsidR="00D6022D">
        <w:trPr>
          <w:trHeight w:val="1058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测量模式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MEAS：测量pH/mV/T</w:t>
            </w:r>
          </w:p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CAL：pH校正（多点）</w:t>
            </w:r>
          </w:p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SET设定终点模式</w:t>
            </w:r>
          </w:p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MET等量滴定</w:t>
            </w:r>
          </w:p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DET动态滴定</w:t>
            </w:r>
          </w:p>
        </w:tc>
      </w:tr>
      <w:tr w:rsidR="00D6022D">
        <w:trPr>
          <w:trHeight w:val="1043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滴定模式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酸碱滴定、氧化还原滴定、沉淀滴定、络合滴定、非水滴定</w:t>
            </w:r>
          </w:p>
        </w:tc>
      </w:tr>
      <w:tr w:rsidR="00D6022D">
        <w:trPr>
          <w:trHeight w:val="528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滴定杯容量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150M或250mL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温度测温范围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0～100℃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温度测量精度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±0.1℃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通讯方式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1个USB、232串口、以太网</w:t>
            </w:r>
          </w:p>
        </w:tc>
      </w:tr>
      <w:tr w:rsidR="00D6022D">
        <w:trPr>
          <w:trHeight w:val="485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lastRenderedPageBreak/>
              <w:t>加液单元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内置式加液单元</w:t>
            </w:r>
          </w:p>
        </w:tc>
      </w:tr>
      <w:tr w:rsidR="00D6022D">
        <w:trPr>
          <w:trHeight w:val="485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加液模块单元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内置滴定加液通道1套</w:t>
            </w:r>
          </w:p>
        </w:tc>
      </w:tr>
      <w:tr w:rsidR="00D6022D">
        <w:trPr>
          <w:trHeight w:val="485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可扩展加液通道数量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8通道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滴定管规格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1ml 5ml 10ml 25ml 50ml（10ml标配）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滴定管的分辨率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1/48,000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滴定管补液时间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 xml:space="preserve"> 10秒（100％充液速度）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控制单元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PC 含软件（选配笔记本电脑）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自动进样器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 xml:space="preserve"> 可与GT机器人进样系统连用进行大批量样品的分析</w:t>
            </w:r>
          </w:p>
        </w:tc>
      </w:tr>
      <w:tr w:rsidR="00D6022D">
        <w:trPr>
          <w:trHeight w:val="400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自检功能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开机自动检查仪器状态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校准功能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有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应用编辑功能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有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存储空间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大于300G(大于10000条）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预设方法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大于300G(大于10000条）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符合FDA、GMP、GLP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审计追踪、分级管理、电子签名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管路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PTFE滴定管路(耐腐）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搅拌方式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顶置式螺旋搅拌器或磁力搅拌</w:t>
            </w:r>
          </w:p>
        </w:tc>
      </w:tr>
      <w:tr w:rsidR="00D6022D"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PTFE阀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进口耐腐型旋转阀</w:t>
            </w:r>
          </w:p>
        </w:tc>
      </w:tr>
      <w:tr w:rsidR="00D6022D">
        <w:trPr>
          <w:trHeight w:val="554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bidi="ar"/>
              </w:rPr>
              <w:t>微量检测电极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bidi="ar"/>
              </w:rPr>
              <w:t>进口</w:t>
            </w:r>
          </w:p>
        </w:tc>
      </w:tr>
      <w:tr w:rsidR="00D6022D">
        <w:trPr>
          <w:trHeight w:val="534"/>
        </w:trPr>
        <w:tc>
          <w:tcPr>
            <w:tcW w:w="4296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bidi="ar"/>
              </w:rPr>
              <w:t>微量注射泵</w:t>
            </w:r>
          </w:p>
        </w:tc>
        <w:tc>
          <w:tcPr>
            <w:tcW w:w="4095" w:type="dxa"/>
            <w:tcMar>
              <w:left w:w="105" w:type="dxa"/>
              <w:right w:w="105" w:type="dxa"/>
            </w:tcMar>
            <w:vAlign w:val="center"/>
          </w:tcPr>
          <w:p w:rsidR="00D6022D" w:rsidRDefault="0000000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 w:line="330" w:lineRule="atLeas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bidi="ar"/>
              </w:rPr>
              <w:t>进口</w:t>
            </w:r>
          </w:p>
        </w:tc>
      </w:tr>
    </w:tbl>
    <w:p w:rsidR="00D6022D" w:rsidRDefault="00000000">
      <w:pPr>
        <w:spacing w:after="160"/>
        <w:rPr>
          <w:rFonts w:ascii="宋体" w:eastAsia="宋体" w:hAnsi="宋体"/>
          <w:b/>
          <w:bCs/>
          <w:color w:val="333333"/>
          <w:sz w:val="24"/>
          <w:szCs w:val="24"/>
        </w:rPr>
      </w:pPr>
      <w:r>
        <w:rPr>
          <w:rFonts w:ascii="宋体" w:eastAsia="宋体" w:hAnsi="宋体"/>
          <w:b/>
          <w:bCs/>
          <w:color w:val="333333"/>
          <w:sz w:val="24"/>
          <w:szCs w:val="24"/>
        </w:rPr>
        <w:lastRenderedPageBreak/>
        <w:t>典型应用</w:t>
      </w:r>
    </w:p>
    <w:p w:rsidR="00D6022D" w:rsidRDefault="00000000">
      <w:pPr>
        <w:spacing w:after="16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/>
          <w:color w:val="333333"/>
          <w:sz w:val="24"/>
          <w:szCs w:val="24"/>
        </w:rPr>
        <w:t>食品中酸价测定</w:t>
      </w:r>
      <w:r>
        <w:rPr>
          <w:rFonts w:hint="eastAsia"/>
          <w:color w:val="333333"/>
          <w:sz w:val="24"/>
          <w:szCs w:val="24"/>
        </w:rPr>
        <w:t xml:space="preserve">                           </w:t>
      </w:r>
      <w:r>
        <w:rPr>
          <w:rFonts w:ascii="宋体" w:eastAsia="宋体" w:hAnsi="宋体" w:hint="eastAsia"/>
          <w:color w:val="333333"/>
          <w:sz w:val="24"/>
          <w:szCs w:val="24"/>
        </w:rPr>
        <w:t>水泥中氯离子的测定</w:t>
      </w:r>
    </w:p>
    <w:p w:rsidR="00D6022D" w:rsidRDefault="00000000">
      <w:pPr>
        <w:spacing w:after="16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食品中过氧化值测定</w:t>
      </w:r>
      <w:r>
        <w:rPr>
          <w:rFonts w:hint="eastAsia"/>
          <w:color w:val="333333"/>
          <w:sz w:val="24"/>
          <w:szCs w:val="24"/>
        </w:rPr>
        <w:t xml:space="preserve">                        </w:t>
      </w:r>
      <w:r>
        <w:rPr>
          <w:rFonts w:ascii="宋体" w:eastAsia="宋体" w:hAnsi="宋体" w:hint="eastAsia"/>
          <w:color w:val="333333"/>
          <w:sz w:val="24"/>
          <w:szCs w:val="24"/>
        </w:rPr>
        <w:t>硫醇硫测定</w:t>
      </w:r>
    </w:p>
    <w:p w:rsidR="00D6022D" w:rsidRDefault="00000000">
      <w:pPr>
        <w:spacing w:after="16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食品中还原糖测定</w:t>
      </w:r>
      <w:r>
        <w:rPr>
          <w:rFonts w:hint="eastAsia"/>
          <w:color w:val="333333"/>
          <w:sz w:val="24"/>
          <w:szCs w:val="24"/>
        </w:rPr>
        <w:t xml:space="preserve">                         </w:t>
      </w:r>
      <w:r>
        <w:rPr>
          <w:rFonts w:ascii="宋体" w:eastAsia="宋体" w:hAnsi="宋体" w:hint="eastAsia"/>
          <w:color w:val="333333"/>
          <w:sz w:val="24"/>
          <w:szCs w:val="24"/>
        </w:rPr>
        <w:t>电解液测定</w:t>
      </w:r>
    </w:p>
    <w:p w:rsidR="00D6022D" w:rsidRDefault="00000000">
      <w:pPr>
        <w:spacing w:after="16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玉米粉中脂肪酸值测定</w:t>
      </w:r>
      <w:r>
        <w:rPr>
          <w:rFonts w:hint="eastAsia"/>
          <w:color w:val="333333"/>
          <w:sz w:val="24"/>
          <w:szCs w:val="24"/>
        </w:rPr>
        <w:t xml:space="preserve">                     </w:t>
      </w:r>
      <w:r>
        <w:rPr>
          <w:rFonts w:ascii="宋体" w:eastAsia="宋体" w:hAnsi="宋体" w:hint="eastAsia"/>
          <w:color w:val="333333"/>
          <w:sz w:val="24"/>
          <w:szCs w:val="24"/>
        </w:rPr>
        <w:t>表面活性剂测定</w:t>
      </w:r>
    </w:p>
    <w:p w:rsidR="00D6022D" w:rsidRDefault="00000000">
      <w:pPr>
        <w:spacing w:after="16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游离脂肪酸测定</w:t>
      </w:r>
      <w:r>
        <w:rPr>
          <w:rFonts w:hint="eastAsia"/>
          <w:color w:val="333333"/>
          <w:sz w:val="24"/>
          <w:szCs w:val="24"/>
        </w:rPr>
        <w:t xml:space="preserve">                           </w:t>
      </w:r>
      <w:r>
        <w:rPr>
          <w:rFonts w:ascii="宋体" w:eastAsia="宋体" w:hAnsi="宋体" w:hint="eastAsia"/>
          <w:color w:val="333333"/>
          <w:sz w:val="24"/>
          <w:szCs w:val="24"/>
        </w:rPr>
        <w:t>废水中COD 测定</w:t>
      </w:r>
    </w:p>
    <w:p w:rsidR="00D6022D" w:rsidRDefault="00000000">
      <w:pPr>
        <w:spacing w:after="16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中药半夏中琥珀酸含量测定</w:t>
      </w:r>
    </w:p>
    <w:p w:rsidR="00D6022D" w:rsidRDefault="00000000">
      <w:pPr>
        <w:spacing w:after="16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土壤中有机质测定仪</w:t>
      </w:r>
    </w:p>
    <w:sectPr w:rsidR="00D6022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78C" w:rsidRDefault="00D6278C">
      <w:r>
        <w:separator/>
      </w:r>
    </w:p>
  </w:endnote>
  <w:endnote w:type="continuationSeparator" w:id="0">
    <w:p w:rsidR="00D6278C" w:rsidRDefault="00D6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22D" w:rsidRDefault="00D6022D">
    <w:pPr>
      <w:pStyle w:val="a3"/>
      <w:snapToGrid w:val="0"/>
      <w:spacing w:after="1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78C" w:rsidRDefault="00D6278C">
      <w:r>
        <w:separator/>
      </w:r>
    </w:p>
  </w:footnote>
  <w:footnote w:type="continuationSeparator" w:id="0">
    <w:p w:rsidR="00D6278C" w:rsidRDefault="00D6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22D" w:rsidRDefault="003C468F">
    <w:pPr>
      <w:pStyle w:val="a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  <w:spacing w:after="160"/>
      <w:rPr>
        <w:rFonts w:eastAsia="宋体" w:hAnsi="宋体"/>
      </w:rPr>
    </w:pPr>
    <w:r>
      <w:rPr>
        <w:noProof/>
      </w:rPr>
      <w:drawing>
        <wp:inline distT="0" distB="0" distL="0" distR="0">
          <wp:extent cx="5274310" cy="717550"/>
          <wp:effectExtent l="0" t="0" r="0" b="6350"/>
          <wp:docPr id="92780459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804596" name="图片 927804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t xml:space="preserve">                                                </w:t>
    </w:r>
    <w:r w:rsidR="00000000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c5NDljOGM1MzJhOTM5OGM3OGU2NTMxNTJhZjhjZmEifQ=="/>
  </w:docVars>
  <w:rsids>
    <w:rsidRoot w:val="00D6022D"/>
    <w:rsid w:val="001846B4"/>
    <w:rsid w:val="003C468F"/>
    <w:rsid w:val="005A170D"/>
    <w:rsid w:val="00757F98"/>
    <w:rsid w:val="00D6022D"/>
    <w:rsid w:val="00D6278C"/>
    <w:rsid w:val="024F19EB"/>
    <w:rsid w:val="06A00706"/>
    <w:rsid w:val="0751095D"/>
    <w:rsid w:val="0A4642A0"/>
    <w:rsid w:val="0BC440D9"/>
    <w:rsid w:val="0CDA5805"/>
    <w:rsid w:val="0DE643F5"/>
    <w:rsid w:val="0FA40122"/>
    <w:rsid w:val="10823A9C"/>
    <w:rsid w:val="11F22D51"/>
    <w:rsid w:val="13A46F69"/>
    <w:rsid w:val="13E51B07"/>
    <w:rsid w:val="155E3FA3"/>
    <w:rsid w:val="15B1120C"/>
    <w:rsid w:val="188B1F0D"/>
    <w:rsid w:val="1E7A50A8"/>
    <w:rsid w:val="1FBE06A1"/>
    <w:rsid w:val="1FF86DE8"/>
    <w:rsid w:val="21B63BB1"/>
    <w:rsid w:val="246B2387"/>
    <w:rsid w:val="27E852ED"/>
    <w:rsid w:val="2C1213BD"/>
    <w:rsid w:val="2C874C81"/>
    <w:rsid w:val="2E421384"/>
    <w:rsid w:val="2EC70BAB"/>
    <w:rsid w:val="31CB7D37"/>
    <w:rsid w:val="32D72826"/>
    <w:rsid w:val="348649E1"/>
    <w:rsid w:val="35D842D0"/>
    <w:rsid w:val="36745E02"/>
    <w:rsid w:val="387A2DB6"/>
    <w:rsid w:val="39942E84"/>
    <w:rsid w:val="39B87EC2"/>
    <w:rsid w:val="3CCF037D"/>
    <w:rsid w:val="3FBB1EEC"/>
    <w:rsid w:val="45474CB1"/>
    <w:rsid w:val="45CE60D4"/>
    <w:rsid w:val="46144B65"/>
    <w:rsid w:val="462C2697"/>
    <w:rsid w:val="4953061F"/>
    <w:rsid w:val="49F46BDF"/>
    <w:rsid w:val="4A62791F"/>
    <w:rsid w:val="4AF362FD"/>
    <w:rsid w:val="4B327FD0"/>
    <w:rsid w:val="4C3E4685"/>
    <w:rsid w:val="4DE74BFF"/>
    <w:rsid w:val="4DFE51D6"/>
    <w:rsid w:val="4E3C4F28"/>
    <w:rsid w:val="501E0DEC"/>
    <w:rsid w:val="58551C18"/>
    <w:rsid w:val="58F00B1E"/>
    <w:rsid w:val="59D41FBD"/>
    <w:rsid w:val="5AAB4C94"/>
    <w:rsid w:val="5D18025C"/>
    <w:rsid w:val="5EB639ED"/>
    <w:rsid w:val="64E53124"/>
    <w:rsid w:val="66B12BB4"/>
    <w:rsid w:val="67EB5CB6"/>
    <w:rsid w:val="690678BC"/>
    <w:rsid w:val="6DED61E2"/>
    <w:rsid w:val="6E46795B"/>
    <w:rsid w:val="71F01E23"/>
    <w:rsid w:val="78F7404A"/>
    <w:rsid w:val="798F0399"/>
    <w:rsid w:val="7D8338C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C70130C"/>
  <w15:docId w15:val="{FD9D6519-30C4-894A-8202-86BCFFBF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6" w:qFormat="1"/>
    <w:lsdException w:name="Default Paragraph Font" w:semiHidden="1" w:uiPriority="2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37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eastAsia="Times New Roman" w:cstheme="minorBid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 w:cstheme="minorBidi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 w:cstheme="minorBidi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 w:cstheme="minorBidi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 w:cstheme="minorBidi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 w:cstheme="minorBidi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 w:cstheme="minorBid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 w:cstheme="minorBid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 w:cstheme="minorBid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eastAsia="Times New Roman" w:cstheme="minorBidi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eastAsia="Times New Roman" w:cstheme="minorBidi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eastAsia="Times New Roman" w:cstheme="minorBidi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eastAsia="Times New Roman" w:cstheme="minorBidi"/>
      <w:sz w:val="21"/>
      <w:szCs w:val="21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eastAsia="Times New Roman" w:cstheme="minorBidi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eastAsia="Times New Roman" w:cstheme="minorBidi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eastAsia="Times New Roman" w:cstheme="minorBidi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eastAsia="Times New Roman" w:cstheme="minorBidi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eastAsia="Times New Roman" w:cstheme="minorBidi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eastAsia="Times New Roman" w:cstheme="minorBidi"/>
      <w:sz w:val="21"/>
      <w:szCs w:val="21"/>
    </w:rPr>
  </w:style>
  <w:style w:type="paragraph" w:styleId="a6">
    <w:name w:val="Normal (Web)"/>
    <w:basedOn w:val="a"/>
    <w:qFormat/>
    <w:rPr>
      <w:rFonts w:ascii="宋体" w:eastAsia="宋体" w:hAnsi="宋体"/>
      <w:color w:val="000000"/>
      <w:sz w:val="24"/>
      <w:szCs w:val="24"/>
    </w:rPr>
  </w:style>
  <w:style w:type="paragraph" w:styleId="a7">
    <w:name w:val="Title"/>
    <w:uiPriority w:val="6"/>
    <w:qFormat/>
    <w:pPr>
      <w:jc w:val="center"/>
    </w:pPr>
    <w:rPr>
      <w:rFonts w:eastAsia="Times New Roman" w:cstheme="minorBidi"/>
      <w:b/>
      <w:sz w:val="32"/>
      <w:szCs w:val="32"/>
    </w:rPr>
  </w:style>
  <w:style w:type="character" w:styleId="a8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character" w:styleId="a9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a">
    <w:name w:val="No Spacing"/>
    <w:uiPriority w:val="5"/>
    <w:qFormat/>
    <w:pPr>
      <w:jc w:val="both"/>
    </w:pPr>
    <w:rPr>
      <w:rFonts w:eastAsia="Times New Roman" w:cstheme="minorBidi"/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b">
    <w:name w:val="Quote"/>
    <w:uiPriority w:val="21"/>
    <w:qFormat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styleId="ac">
    <w:name w:val="Intense Quote"/>
    <w:uiPriority w:val="22"/>
    <w:qFormat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d">
    <w:name w:val="List Paragraph"/>
    <w:uiPriority w:val="26"/>
    <w:qFormat/>
    <w:pPr>
      <w:ind w:left="850"/>
      <w:jc w:val="both"/>
    </w:pPr>
    <w:rPr>
      <w:rFonts w:eastAsia="Times New Roman" w:cstheme="minorBidi"/>
      <w:sz w:val="21"/>
      <w:szCs w:val="21"/>
    </w:rPr>
  </w:style>
  <w:style w:type="paragraph" w:customStyle="1" w:styleId="TOC10">
    <w:name w:val="TOC 标题1"/>
    <w:uiPriority w:val="27"/>
    <w:unhideWhenUsed/>
    <w:qFormat/>
    <w:rPr>
      <w:rFonts w:eastAsia="Times New Roman" w:cstheme="minorBidi"/>
      <w:color w:val="2E74B5"/>
      <w:sz w:val="32"/>
      <w:szCs w:val="3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刘经理-上海佳航仪器</dc:creator>
  <cp:lastModifiedBy>易飞 简</cp:lastModifiedBy>
  <cp:revision>6</cp:revision>
  <cp:lastPrinted>2019-11-13T02:48:00Z</cp:lastPrinted>
  <dcterms:created xsi:type="dcterms:W3CDTF">2019-08-22T07:07:00Z</dcterms:created>
  <dcterms:modified xsi:type="dcterms:W3CDTF">2024-05-07T09:40:00Z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23F867A9757C49289B44D3FF30DC64F5</vt:lpwstr>
  </property>
</Properties>
</file>