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46D00">
      <w:pPr>
        <w:pStyle w:val="4"/>
        <w:widowControl w:val="0"/>
        <w:spacing w:before="100" w:after="100" w:line="360" w:lineRule="auto"/>
        <w:ind w:firstLine="1285" w:firstLineChars="400"/>
        <w:jc w:val="both"/>
        <w:rPr>
          <w:rFonts w:hint="eastAsia" w:ascii="华文宋体" w:hAnsi="华文宋体" w:eastAsia="宋体"/>
          <w:b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sz w:val="32"/>
          <w:szCs w:val="32"/>
          <w:lang w:val="zh-CN"/>
        </w:rPr>
        <w:t>超微量核酸蛋白测定仪</w:t>
      </w:r>
      <w:r>
        <w:rPr>
          <w:rFonts w:ascii="华文宋体" w:hAnsi="华文宋体"/>
          <w:b/>
          <w:sz w:val="32"/>
          <w:szCs w:val="32"/>
        </w:rPr>
        <w:t>K5</w:t>
      </w:r>
      <w:r>
        <w:rPr>
          <w:rFonts w:ascii="华文宋体" w:hAnsi="华文宋体"/>
          <w:b/>
          <w:sz w:val="32"/>
          <w:szCs w:val="32"/>
          <w:lang w:val="zh-CN"/>
        </w:rPr>
        <w:t>8</w:t>
      </w:r>
      <w:r>
        <w:rPr>
          <w:rFonts w:ascii="华文宋体" w:hAnsi="华文宋体"/>
          <w:b/>
          <w:sz w:val="32"/>
          <w:szCs w:val="32"/>
        </w:rPr>
        <w:t>00</w:t>
      </w:r>
      <w:r>
        <w:rPr>
          <w:rFonts w:hint="eastAsia" w:ascii="华文宋体" w:hAnsi="华文宋体" w:eastAsia="宋体"/>
          <w:b/>
          <w:sz w:val="32"/>
          <w:szCs w:val="32"/>
          <w:lang w:val="en-US" w:eastAsia="zh-CN"/>
        </w:rPr>
        <w:t>C</w:t>
      </w:r>
    </w:p>
    <w:p w14:paraId="5752B898">
      <w:pPr>
        <w:pStyle w:val="4"/>
        <w:widowControl w:val="0"/>
        <w:spacing w:before="100" w:after="100" w:line="360" w:lineRule="auto"/>
        <w:ind w:firstLine="1285" w:firstLineChars="400"/>
        <w:jc w:val="both"/>
        <w:rPr>
          <w:rFonts w:hint="eastAsia" w:ascii="华文宋体" w:hAnsi="华文宋体" w:eastAsia="宋体"/>
          <w:b/>
          <w:sz w:val="32"/>
          <w:szCs w:val="32"/>
          <w:lang w:val="en-US" w:eastAsia="zh-CN"/>
        </w:rPr>
      </w:pPr>
    </w:p>
    <w:p w14:paraId="1ED763C8">
      <w:pPr>
        <w:pStyle w:val="4"/>
        <w:widowControl w:val="0"/>
        <w:spacing w:before="100" w:after="100" w:line="360" w:lineRule="auto"/>
        <w:ind w:firstLine="1285" w:firstLineChars="400"/>
        <w:jc w:val="both"/>
        <w:rPr>
          <w:rFonts w:hint="eastAsia" w:ascii="华文宋体" w:hAnsi="华文宋体" w:eastAsia="宋体"/>
          <w:b/>
          <w:sz w:val="32"/>
          <w:szCs w:val="32"/>
          <w:lang w:val="zh-CN" w:eastAsia="zh-TW"/>
        </w:rPr>
      </w:pPr>
      <w:r>
        <w:rPr>
          <w:rFonts w:hint="eastAsia" w:ascii="华文宋体" w:hAnsi="华文宋体" w:eastAsia="宋体"/>
          <w:b/>
          <w:sz w:val="32"/>
          <w:szCs w:val="32"/>
          <w:lang w:val="zh-CN" w:eastAsia="zh-TW"/>
        </w:rPr>
        <w:drawing>
          <wp:inline distT="0" distB="0" distL="114300" distR="114300">
            <wp:extent cx="3831590" cy="2973070"/>
            <wp:effectExtent l="0" t="0" r="16510" b="17780"/>
            <wp:docPr id="1" name="图片 1" descr="5a5a2538bf03b38a929c7d65e547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5a2538bf03b38a929c7d65e547a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2F220">
      <w:pPr>
        <w:pStyle w:val="4"/>
        <w:widowControl w:val="0"/>
        <w:spacing w:before="100" w:after="100" w:line="240" w:lineRule="auto"/>
        <w:jc w:val="both"/>
        <w:rPr>
          <w:rStyle w:val="5"/>
          <w:rFonts w:ascii="Arial" w:hAnsi="Arial" w:eastAsia="Arial" w:cs="Arial"/>
          <w:b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color w:val="auto"/>
          <w:sz w:val="24"/>
          <w:szCs w:val="24"/>
        </w:rPr>
        <w:t>一、</w:t>
      </w:r>
      <w:r>
        <w:rPr>
          <w:rStyle w:val="5"/>
          <w:rFonts w:hint="eastAsia" w:ascii="Arial" w:hAnsi="Arial" w:eastAsia="Arial" w:cs="Arial"/>
          <w:b/>
          <w:color w:val="auto"/>
          <w:sz w:val="24"/>
          <w:szCs w:val="24"/>
        </w:rPr>
        <w:tab/>
      </w:r>
      <w:r>
        <w:rPr>
          <w:rStyle w:val="5"/>
          <w:rFonts w:hint="eastAsia" w:ascii="宋体" w:hAnsi="宋体" w:eastAsia="宋体" w:cs="宋体"/>
          <w:b/>
          <w:color w:val="auto"/>
          <w:sz w:val="24"/>
          <w:szCs w:val="24"/>
        </w:rPr>
        <w:t>性能参数（</w:t>
      </w:r>
      <w:r>
        <w:rPr>
          <w:rFonts w:ascii="宋体" w:hAnsi="宋体" w:eastAsia="宋体" w:cs="宋体"/>
          <w:b/>
          <w:color w:val="auto"/>
          <w:sz w:val="24"/>
          <w:szCs w:val="24"/>
        </w:rPr>
        <w:t>★</w:t>
      </w:r>
      <w:r>
        <w:rPr>
          <w:rStyle w:val="5"/>
          <w:rFonts w:hint="eastAsia" w:ascii="宋体" w:hAnsi="宋体" w:eastAsia="宋体" w:cs="宋体"/>
          <w:b/>
          <w:color w:val="auto"/>
          <w:sz w:val="24"/>
          <w:szCs w:val="24"/>
        </w:rPr>
        <w:t>为重要指标）</w:t>
      </w:r>
    </w:p>
    <w:p w14:paraId="41F0340F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Style w:val="5"/>
          <w:rFonts w:ascii="华文宋体" w:hAnsi="华文宋体"/>
          <w:color w:val="auto"/>
          <w:sz w:val="24"/>
          <w:szCs w:val="24"/>
        </w:rPr>
        <w:t>★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光程：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  <w:t>1mm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、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  <w:t>0.5mm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、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  <w:t>0.1mm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、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  <w:t>0.05mm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、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  <w:t>0.02mm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（光程自动转换）</w:t>
      </w:r>
    </w:p>
    <w:p w14:paraId="0888E720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Style w:val="5"/>
          <w:rFonts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微量样品体积要求：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  <w:t>0.3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～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TW" w:eastAsia="zh-TW"/>
        </w:rPr>
        <w:t>2µL</w:t>
      </w:r>
    </w:p>
    <w:p w14:paraId="28CBF632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Style w:val="5"/>
          <w:rFonts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 xml:space="preserve">光源：长寿命脉冲氙闪灯 </w:t>
      </w:r>
    </w:p>
    <w:p w14:paraId="0B9FA042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检测器：</w:t>
      </w:r>
      <w:r>
        <w:rPr>
          <w:rStyle w:val="5"/>
          <w:rFonts w:ascii="华文宋体" w:hAnsi="华文宋体"/>
          <w:color w:val="auto"/>
          <w:sz w:val="24"/>
          <w:szCs w:val="24"/>
          <w:lang w:val="zh-CN"/>
        </w:rPr>
        <w:t>2048</w:t>
      </w:r>
      <w:r>
        <w:rPr>
          <w:rStyle w:val="5"/>
          <w:rFonts w:hint="eastAsia" w:eastAsia="华文宋体"/>
          <w:color w:val="auto"/>
          <w:sz w:val="24"/>
          <w:szCs w:val="24"/>
          <w:lang w:val="zh-CN"/>
        </w:rPr>
        <w:t>（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CN"/>
        </w:rPr>
        <w:t>coms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CN"/>
        </w:rPr>
        <w:t>）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线性图像传感器</w:t>
      </w:r>
    </w:p>
    <w:p w14:paraId="65433C44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波长范围： </w:t>
      </w:r>
      <w:r>
        <w:rPr>
          <w:rFonts w:ascii="华文宋体" w:hAnsi="华文宋体"/>
          <w:color w:val="auto"/>
          <w:sz w:val="24"/>
          <w:szCs w:val="24"/>
        </w:rPr>
        <w:t>1</w:t>
      </w:r>
      <w:r>
        <w:rPr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>85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～</w:t>
      </w:r>
      <w:r>
        <w:rPr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>930</w:t>
      </w:r>
      <w:r>
        <w:rPr>
          <w:rFonts w:ascii="华文宋体" w:hAnsi="华文宋体"/>
          <w:color w:val="auto"/>
          <w:sz w:val="24"/>
          <w:szCs w:val="24"/>
        </w:rPr>
        <w:t>nm</w:t>
      </w:r>
    </w:p>
    <w:p w14:paraId="1F442310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波长精度：</w:t>
      </w:r>
      <w:r>
        <w:rPr>
          <w:rFonts w:ascii="华文宋体" w:hAnsi="华文宋体"/>
          <w:color w:val="auto"/>
          <w:sz w:val="24"/>
          <w:szCs w:val="24"/>
        </w:rPr>
        <w:t>±1nm</w:t>
      </w:r>
    </w:p>
    <w:p w14:paraId="55930EB9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波长分辨率：</w:t>
      </w:r>
      <w:r>
        <w:rPr>
          <w:rFonts w:ascii="华文宋体" w:hAnsi="华文宋体"/>
          <w:color w:val="auto"/>
          <w:sz w:val="24"/>
          <w:szCs w:val="24"/>
        </w:rPr>
        <w:t>2nm (FWHM at Hg 546nm)</w:t>
      </w:r>
    </w:p>
    <w:p w14:paraId="2A53660A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吸光率精确度：</w:t>
      </w:r>
      <w:r>
        <w:rPr>
          <w:rFonts w:ascii="华文宋体" w:hAnsi="华文宋体"/>
          <w:color w:val="auto"/>
          <w:sz w:val="24"/>
          <w:szCs w:val="24"/>
        </w:rPr>
        <w:t>0.002 Abs</w:t>
      </w:r>
    </w:p>
    <w:p w14:paraId="103E7538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吸光率准确度： </w:t>
      </w:r>
      <w:r>
        <w:rPr>
          <w:rFonts w:ascii="华文宋体" w:hAnsi="华文宋体"/>
          <w:color w:val="auto"/>
          <w:sz w:val="24"/>
          <w:szCs w:val="24"/>
        </w:rPr>
        <w:t>1% (0.76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吸光率在</w:t>
      </w:r>
      <w:r>
        <w:rPr>
          <w:rFonts w:ascii="华文宋体" w:hAnsi="华文宋体"/>
          <w:color w:val="auto"/>
          <w:sz w:val="24"/>
          <w:szCs w:val="24"/>
        </w:rPr>
        <w:t>350nm)</w:t>
      </w:r>
    </w:p>
    <w:p w14:paraId="56BC69A8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吸光率范围：</w:t>
      </w:r>
      <w:r>
        <w:rPr>
          <w:rFonts w:ascii="华文宋体" w:hAnsi="华文宋体"/>
          <w:color w:val="auto"/>
          <w:sz w:val="24"/>
          <w:szCs w:val="24"/>
        </w:rPr>
        <w:t>0.002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～</w:t>
      </w:r>
      <w:r>
        <w:rPr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>75</w:t>
      </w:r>
      <w:r>
        <w:rPr>
          <w:rFonts w:ascii="华文宋体" w:hAnsi="华文宋体"/>
          <w:color w:val="auto"/>
          <w:sz w:val="24"/>
          <w:szCs w:val="24"/>
        </w:rPr>
        <w:t>0 Abs,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等效于</w:t>
      </w:r>
      <w:r>
        <w:rPr>
          <w:rFonts w:ascii="华文宋体" w:hAnsi="华文宋体"/>
          <w:color w:val="auto"/>
          <w:sz w:val="24"/>
          <w:szCs w:val="24"/>
        </w:rPr>
        <w:t>10mm</w:t>
      </w:r>
    </w:p>
    <w:p w14:paraId="27D0DDC5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ascii="华文宋体" w:hAnsi="华文宋体"/>
          <w:color w:val="auto"/>
          <w:sz w:val="24"/>
          <w:szCs w:val="24"/>
        </w:rPr>
      </w:pPr>
      <w:r>
        <w:rPr>
          <w:rStyle w:val="5"/>
          <w:rFonts w:ascii="华文宋体" w:hAnsi="华文宋体"/>
          <w:color w:val="auto"/>
          <w:sz w:val="24"/>
          <w:szCs w:val="24"/>
        </w:rPr>
        <w:t>★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核酸测量范围：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0.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CN"/>
        </w:rPr>
        <w:t>2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～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CN"/>
        </w:rPr>
        <w:t>37</w:t>
      </w:r>
      <w:r>
        <w:rPr>
          <w:rStyle w:val="5"/>
          <w:rFonts w:ascii="华文宋体" w:hAnsi="华文宋体"/>
          <w:color w:val="auto"/>
          <w:sz w:val="24"/>
          <w:szCs w:val="24"/>
        </w:rPr>
        <w:t xml:space="preserve">500 ng/µl </w:t>
      </w:r>
      <w:r>
        <w:rPr>
          <w:rStyle w:val="5"/>
          <w:rFonts w:hint="eastAsia" w:eastAsia="华文宋体"/>
          <w:color w:val="auto"/>
          <w:sz w:val="24"/>
          <w:szCs w:val="24"/>
          <w:lang w:val="zh-CN"/>
        </w:rPr>
        <w:t>（</w:t>
      </w:r>
      <w:r>
        <w:rPr>
          <w:rStyle w:val="5"/>
          <w:rFonts w:ascii="华文宋体" w:hAnsi="华文宋体"/>
          <w:color w:val="auto"/>
          <w:sz w:val="24"/>
          <w:szCs w:val="24"/>
        </w:rPr>
        <w:t>dsDNA</w:t>
      </w:r>
      <w:r>
        <w:rPr>
          <w:rStyle w:val="5"/>
          <w:rFonts w:hint="eastAsia" w:eastAsia="华文宋体"/>
          <w:color w:val="auto"/>
          <w:sz w:val="24"/>
          <w:szCs w:val="24"/>
          <w:lang w:val="zh-CN"/>
        </w:rPr>
        <w:t>）</w:t>
      </w:r>
      <w:r>
        <w:rPr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 xml:space="preserve">                                     </w:t>
      </w:r>
      <w:r>
        <w:rPr>
          <w:rStyle w:val="5"/>
          <w:rFonts w:hint="eastAsia" w:eastAsia="华文宋体"/>
          <w:color w:val="auto"/>
          <w:sz w:val="24"/>
          <w:szCs w:val="24"/>
          <w:lang w:val="en-US" w:eastAsia="zh-CN"/>
        </w:rPr>
        <w:t xml:space="preserve">                                   </w:t>
      </w:r>
    </w:p>
    <w:p w14:paraId="6B275FC7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ascii="华文宋体" w:hAnsi="华文宋体"/>
          <w:color w:val="auto"/>
          <w:sz w:val="24"/>
          <w:szCs w:val="24"/>
        </w:rPr>
      </w:pPr>
      <w:r>
        <w:rPr>
          <w:rStyle w:val="5"/>
          <w:rFonts w:ascii="华文宋体" w:hAnsi="华文宋体"/>
          <w:color w:val="auto"/>
          <w:sz w:val="24"/>
          <w:szCs w:val="24"/>
        </w:rPr>
        <w:t>★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蛋白质测量范围：</w:t>
      </w:r>
      <w:r>
        <w:rPr>
          <w:rStyle w:val="5"/>
          <w:rFonts w:ascii="华文宋体" w:hAnsi="华文宋体"/>
          <w:color w:val="auto"/>
          <w:sz w:val="24"/>
          <w:szCs w:val="24"/>
          <w:lang w:val="zh-TW" w:eastAsia="zh-TW"/>
        </w:rPr>
        <w:t>0.</w:t>
      </w:r>
      <w:r>
        <w:rPr>
          <w:rStyle w:val="5"/>
          <w:rFonts w:ascii="华文宋体" w:hAnsi="华文宋体"/>
          <w:color w:val="auto"/>
          <w:sz w:val="24"/>
          <w:szCs w:val="24"/>
          <w:lang w:val="zh-CN"/>
        </w:rPr>
        <w:t>0</w:t>
      </w:r>
      <w:r>
        <w:rPr>
          <w:rStyle w:val="5"/>
          <w:rFonts w:ascii="华文宋体" w:hAnsi="华文宋体"/>
          <w:color w:val="auto"/>
          <w:sz w:val="24"/>
          <w:szCs w:val="24"/>
          <w:lang w:val="zh-TW" w:eastAsia="zh-TW"/>
        </w:rPr>
        <w:t>1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～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CN"/>
        </w:rPr>
        <w:t>1120</w:t>
      </w:r>
      <w:r>
        <w:rPr>
          <w:rStyle w:val="5"/>
          <w:rFonts w:ascii="华文宋体" w:hAnsi="华文宋体"/>
          <w:color w:val="auto"/>
          <w:sz w:val="24"/>
          <w:szCs w:val="24"/>
        </w:rPr>
        <w:t>mg/ml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CN"/>
        </w:rPr>
        <w:t>（</w:t>
      </w:r>
      <w:r>
        <w:rPr>
          <w:rStyle w:val="5"/>
          <w:rFonts w:ascii="华文宋体" w:hAnsi="华文宋体"/>
          <w:color w:val="auto"/>
          <w:sz w:val="24"/>
          <w:szCs w:val="24"/>
        </w:rPr>
        <w:t>BSA</w:t>
      </w:r>
      <w:r>
        <w:rPr>
          <w:rStyle w:val="5"/>
          <w:rFonts w:hint="eastAsia" w:eastAsia="华文宋体"/>
          <w:color w:val="auto"/>
          <w:sz w:val="24"/>
          <w:szCs w:val="24"/>
          <w:lang w:val="zh-CN"/>
        </w:rPr>
        <w:t>）</w:t>
      </w:r>
    </w:p>
    <w:p w14:paraId="0296C7D2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Fonts w:ascii="华文宋体" w:hAnsi="华文宋体"/>
          <w:color w:val="auto"/>
          <w:sz w:val="24"/>
          <w:szCs w:val="24"/>
        </w:rPr>
      </w:pPr>
      <w:r>
        <w:rPr>
          <w:rFonts w:hint="eastAsia" w:ascii="华文宋体" w:hAnsi="华文宋体" w:eastAsia="宋体"/>
          <w:color w:val="auto"/>
          <w:sz w:val="24"/>
          <w:szCs w:val="24"/>
          <w:lang w:eastAsia="zh-CN"/>
        </w:rPr>
        <w:t>内置方法：核酸</w:t>
      </w:r>
      <w:r>
        <w:rPr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 xml:space="preserve"> 蛋白质 全波长 微阵列</w:t>
      </w:r>
    </w:p>
    <w:p w14:paraId="2CFB1E8F">
      <w:pPr>
        <w:pStyle w:val="4"/>
        <w:widowControl w:val="0"/>
        <w:numPr>
          <w:ilvl w:val="0"/>
          <w:numId w:val="1"/>
        </w:numPr>
        <w:spacing w:before="100" w:after="100" w:line="240" w:lineRule="auto"/>
        <w:jc w:val="both"/>
        <w:rPr>
          <w:rStyle w:val="5"/>
          <w:rFonts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样品测量仪器外形尺寸： 20×30×20cm</w:t>
      </w:r>
    </w:p>
    <w:p w14:paraId="2123DBF8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16. 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仪器重量：3.5kg</w:t>
      </w:r>
    </w:p>
    <w:p w14:paraId="7F88DA9F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eastAsia="华文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17.检测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时间：小于</w:t>
      </w:r>
      <w:r>
        <w:rPr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秒</w:t>
      </w:r>
      <w:bookmarkStart w:id="0" w:name="_GoBack"/>
      <w:bookmarkEnd w:id="0"/>
    </w:p>
    <w:p w14:paraId="585C69F9">
      <w:pPr>
        <w:pStyle w:val="4"/>
        <w:widowControl w:val="0"/>
        <w:spacing w:before="100" w:after="100" w:line="240" w:lineRule="auto"/>
        <w:jc w:val="both"/>
        <w:rPr>
          <w:rFonts w:hint="eastAsia" w:eastAsia="华文宋体"/>
          <w:b/>
          <w:color w:val="auto"/>
          <w:sz w:val="24"/>
          <w:szCs w:val="24"/>
        </w:rPr>
      </w:pPr>
      <w:r>
        <w:rPr>
          <w:rFonts w:hint="eastAsia" w:eastAsia="华文宋体"/>
          <w:b/>
          <w:color w:val="auto"/>
          <w:sz w:val="24"/>
          <w:szCs w:val="24"/>
        </w:rPr>
        <w:t>二、仪器特点</w:t>
      </w:r>
    </w:p>
    <w:p w14:paraId="1FA9867F">
      <w:pPr>
        <w:pStyle w:val="4"/>
        <w:widowControl w:val="0"/>
        <w:spacing w:before="100" w:after="100" w:line="240" w:lineRule="auto"/>
        <w:ind w:left="240" w:hanging="240" w:hangingChars="100"/>
        <w:jc w:val="both"/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数据输出端口：具有2个USB接口，可实现与鼠标、键盘、台式电脑、等多种设备连接使用</w:t>
      </w:r>
    </w:p>
    <w:p w14:paraId="403D76BB">
      <w:pPr>
        <w:pStyle w:val="4"/>
        <w:widowControl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</w:tabs>
        <w:spacing w:before="100" w:after="100" w:line="240" w:lineRule="auto"/>
        <w:jc w:val="both"/>
        <w:rPr>
          <w:rStyle w:val="5"/>
          <w:rFonts w:ascii="华文宋体" w:hAnsi="华文宋体" w:eastAsia="华文宋体" w:cs="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  <w:lang w:val="en-US" w:eastAsia="zh-CN"/>
        </w:rPr>
        <w:t>2.</w:t>
      </w: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</w:rPr>
        <w:t>USB输出或网络转存数据，自带电子版说明书</w:t>
      </w:r>
    </w:p>
    <w:p w14:paraId="7C8B1E26">
      <w:pPr>
        <w:pStyle w:val="4"/>
        <w:widowControl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</w:tabs>
        <w:spacing w:before="100" w:after="100" w:line="240" w:lineRule="auto"/>
        <w:jc w:val="both"/>
        <w:rPr>
          <w:rStyle w:val="5"/>
          <w:rFonts w:hint="eastAsia" w:ascii="华文宋体" w:hAnsi="华文宋体" w:eastAsia="华文宋体" w:cs="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  <w:lang w:val="en-US" w:eastAsia="zh-CN"/>
        </w:rPr>
        <w:t>3.</w:t>
      </w: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</w:rPr>
        <w:t>数据存储</w:t>
      </w: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  <w:lang w:eastAsia="zh-CN"/>
        </w:rPr>
        <w:t>方法</w:t>
      </w: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</w:rPr>
        <w:t>：内置≥32GB存储空间，可直接存储测量结果数据与自定义方法，</w:t>
      </w:r>
    </w:p>
    <w:p w14:paraId="2B8DF242">
      <w:pPr>
        <w:pStyle w:val="4"/>
        <w:widowControl w:val="0"/>
        <w:numPr>
          <w:ilvl w:val="0"/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</w:tabs>
        <w:spacing w:before="100" w:after="100" w:line="240" w:lineRule="auto"/>
        <w:ind w:firstLine="240" w:firstLineChars="100"/>
        <w:jc w:val="both"/>
        <w:rPr>
          <w:rStyle w:val="5"/>
          <w:rFonts w:hint="eastAsia" w:ascii="华文宋体" w:hAnsi="华文宋体" w:eastAsia="华文宋体" w:cs="宋体"/>
          <w:color w:val="auto"/>
          <w:sz w:val="24"/>
          <w:szCs w:val="24"/>
          <w:lang w:eastAsia="zh-CN"/>
        </w:rPr>
      </w:pP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</w:rPr>
        <w:t>测量结果自动保存为电子表格模式</w:t>
      </w:r>
      <w:r>
        <w:rPr>
          <w:rStyle w:val="5"/>
          <w:rFonts w:hint="eastAsia" w:ascii="华文宋体" w:hAnsi="华文宋体" w:eastAsia="华文宋体" w:cs="宋体"/>
          <w:color w:val="auto"/>
          <w:sz w:val="24"/>
          <w:szCs w:val="24"/>
          <w:lang w:eastAsia="zh-CN"/>
        </w:rPr>
        <w:t>：</w:t>
      </w:r>
    </w:p>
    <w:p w14:paraId="4EEB45B6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/>
        </w:rPr>
      </w:pPr>
      <w:r>
        <w:rPr>
          <w:rStyle w:val="5"/>
          <w:rFonts w:hint="eastAsia" w:ascii="华文宋体" w:hAnsi="华文宋体" w:eastAsia="华文宋体"/>
          <w:color w:val="auto"/>
          <w:sz w:val="24"/>
          <w:szCs w:val="24"/>
          <w:lang w:val="en-US" w:eastAsia="zh-CN"/>
        </w:rPr>
        <w:t>4.</w:t>
      </w:r>
      <w:r>
        <w:rPr>
          <w:rStyle w:val="5"/>
          <w:rFonts w:hint="eastAsia" w:ascii="华文宋体" w:hAnsi="华文宋体" w:eastAsia="华文宋体"/>
          <w:color w:val="auto"/>
          <w:sz w:val="24"/>
          <w:szCs w:val="24"/>
          <w:lang w:val="zh-TW"/>
        </w:rPr>
        <w:t>★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具有自动检测功能（合下检测壁，自动检测出结果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/>
        </w:rPr>
        <w:t>）</w:t>
      </w:r>
    </w:p>
    <w:p w14:paraId="1C3E9E7B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/>
        </w:rPr>
        <w:t>★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具有液注异常判断功能</w:t>
      </w:r>
    </w:p>
    <w:p w14:paraId="22C28FB8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/>
        </w:rPr>
        <w:t>★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CN"/>
        </w:rPr>
        <w:t>具有曲线拟合功能</w:t>
      </w:r>
    </w:p>
    <w:p w14:paraId="0411B47B">
      <w:pPr>
        <w:pStyle w:val="4"/>
        <w:widowControl w:val="0"/>
        <w:numPr>
          <w:ilvl w:val="0"/>
          <w:numId w:val="0"/>
        </w:numPr>
        <w:spacing w:before="100" w:after="100" w:line="240" w:lineRule="auto"/>
        <w:jc w:val="both"/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>7.</w:t>
      </w:r>
      <w:r>
        <w:rPr>
          <w:rStyle w:val="5"/>
          <w:rFonts w:ascii="华文宋体" w:hAnsi="华文宋体"/>
          <w:color w:val="auto"/>
          <w:sz w:val="24"/>
          <w:szCs w:val="24"/>
        </w:rPr>
        <w:t>★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 w:eastAsia="zh-TW"/>
        </w:rPr>
        <w:t>内置</w:t>
      </w:r>
      <w:r>
        <w:rPr>
          <w:rStyle w:val="5"/>
          <w:rFonts w:ascii="宋体" w:hAnsi="宋体" w:eastAsia="宋体" w:cs="宋体"/>
          <w:color w:val="auto"/>
          <w:sz w:val="24"/>
          <w:szCs w:val="24"/>
          <w:lang w:val="zh-CN"/>
        </w:rPr>
        <w:t>Wi-Fi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CN"/>
        </w:rPr>
        <w:t>可实现异地操作，可无限打印检测结果</w:t>
      </w:r>
    </w:p>
    <w:p w14:paraId="29B83D25">
      <w:pPr>
        <w:pStyle w:val="4"/>
        <w:widowControl w:val="0"/>
        <w:numPr>
          <w:ilvl w:val="0"/>
          <w:numId w:val="2"/>
        </w:numPr>
        <w:spacing w:before="100" w:after="100" w:line="240" w:lineRule="auto"/>
        <w:ind w:leftChars="0"/>
        <w:jc w:val="both"/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zh-TW"/>
        </w:rPr>
        <w:t>具有一键导出扫描检测结果的谱图功能</w:t>
      </w:r>
    </w:p>
    <w:p w14:paraId="34B601BF">
      <w:pPr>
        <w:pStyle w:val="4"/>
        <w:widowControl w:val="0"/>
        <w:numPr>
          <w:ilvl w:val="0"/>
          <w:numId w:val="0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</w:tabs>
        <w:spacing w:before="100" w:after="100" w:line="240" w:lineRule="auto"/>
        <w:ind w:leftChars="0"/>
        <w:jc w:val="both"/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/>
        </w:rPr>
      </w:pPr>
      <w:r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9.</w:t>
      </w:r>
      <w:r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/>
        </w:rPr>
        <w:t>自带高清显示屏，全触控操作</w:t>
      </w:r>
      <w:r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zh-CN"/>
        </w:rPr>
        <w:t>，</w:t>
      </w:r>
      <w:r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/>
        </w:rPr>
        <w:t>内置</w:t>
      </w:r>
      <w:r>
        <w:rPr>
          <w:rStyle w:val="5"/>
          <w:rFonts w:ascii="宋体" w:hAnsi="宋体" w:eastAsia="宋体" w:cs="宋体"/>
          <w:color w:val="auto"/>
          <w:kern w:val="2"/>
          <w:sz w:val="24"/>
          <w:szCs w:val="24"/>
          <w:lang w:val="zh-CN"/>
        </w:rPr>
        <w:t>win10</w:t>
      </w:r>
      <w:r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zh-TW" w:eastAsia="zh-TW"/>
        </w:rPr>
        <w:t>系统</w:t>
      </w:r>
    </w:p>
    <w:p w14:paraId="28D78B60">
      <w:pPr>
        <w:pStyle w:val="4"/>
        <w:widowControl w:val="0"/>
        <w:numPr>
          <w:ilvl w:val="0"/>
          <w:numId w:val="0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</w:tabs>
        <w:spacing w:before="100" w:after="100" w:line="240" w:lineRule="auto"/>
        <w:ind w:leftChars="0"/>
        <w:jc w:val="both"/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10.开机无需预热 即开即用 1.0-5.0秒即可完成185nm-9300nm波长的数据采集</w:t>
      </w:r>
    </w:p>
    <w:p w14:paraId="7D7AFDDD">
      <w:pPr>
        <w:pStyle w:val="4"/>
        <w:widowControl w:val="0"/>
        <w:numPr>
          <w:ilvl w:val="0"/>
          <w:numId w:val="0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</w:tabs>
        <w:spacing w:before="100" w:after="100" w:line="240" w:lineRule="auto"/>
        <w:ind w:leftChars="0"/>
        <w:jc w:val="both"/>
        <w:rPr>
          <w:rStyle w:val="5"/>
          <w:rFonts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/>
          <w:color w:val="auto"/>
          <w:sz w:val="24"/>
          <w:szCs w:val="24"/>
        </w:rPr>
        <w:t>三、比色皿模式</w:t>
      </w:r>
    </w:p>
    <w:p w14:paraId="74E117AA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>3.1</w:t>
      </w:r>
      <w:r>
        <w:rPr>
          <w:rStyle w:val="5"/>
          <w:rFonts w:hint="eastAsia" w:ascii="华文宋体" w:hAnsi="华文宋体"/>
          <w:color w:val="auto"/>
          <w:sz w:val="24"/>
          <w:szCs w:val="24"/>
        </w:rPr>
        <w:t>★比色皿波长范围：200nm-850nm</w:t>
      </w:r>
    </w:p>
    <w:p w14:paraId="26562084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 xml:space="preserve">3.2 </w:t>
      </w:r>
      <w:r>
        <w:rPr>
          <w:rStyle w:val="5"/>
          <w:rFonts w:hint="eastAsia" w:ascii="华文宋体" w:hAnsi="华文宋体"/>
          <w:color w:val="auto"/>
          <w:sz w:val="24"/>
          <w:szCs w:val="24"/>
        </w:rPr>
        <w:t>比色皿规格：1mm/2mm/5mm/10mm</w:t>
      </w:r>
    </w:p>
    <w:p w14:paraId="71DE2737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 xml:space="preserve">3.3 </w:t>
      </w:r>
      <w:r>
        <w:rPr>
          <w:rStyle w:val="5"/>
          <w:rFonts w:hint="eastAsia" w:ascii="华文宋体" w:hAnsi="华文宋体"/>
          <w:color w:val="auto"/>
          <w:sz w:val="24"/>
          <w:szCs w:val="24"/>
        </w:rPr>
        <w:t>比色皿最小样品体积：50ul</w:t>
      </w:r>
    </w:p>
    <w:p w14:paraId="7E0C3878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 xml:space="preserve">3.4 </w:t>
      </w:r>
      <w:r>
        <w:rPr>
          <w:rStyle w:val="5"/>
          <w:rFonts w:hint="eastAsia" w:ascii="华文宋体" w:hAnsi="华文宋体"/>
          <w:color w:val="auto"/>
          <w:sz w:val="24"/>
          <w:szCs w:val="24"/>
        </w:rPr>
        <w:t>比色皿最低样品高度：</w:t>
      </w: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>8.5</w:t>
      </w:r>
      <w:r>
        <w:rPr>
          <w:rStyle w:val="5"/>
          <w:rFonts w:hint="eastAsia" w:ascii="华文宋体" w:hAnsi="华文宋体"/>
          <w:color w:val="auto"/>
          <w:sz w:val="24"/>
          <w:szCs w:val="24"/>
        </w:rPr>
        <w:t>mm</w:t>
      </w:r>
    </w:p>
    <w:p w14:paraId="274B4365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 xml:space="preserve">3.5 </w:t>
      </w:r>
      <w:r>
        <w:rPr>
          <w:rStyle w:val="5"/>
          <w:rFonts w:hint="eastAsia" w:ascii="华文宋体" w:hAnsi="华文宋体"/>
          <w:color w:val="auto"/>
          <w:sz w:val="24"/>
          <w:szCs w:val="24"/>
        </w:rPr>
        <w:t>比色皿暗室：标准比色皿暗室，可使用多规格的比色皿</w:t>
      </w:r>
    </w:p>
    <w:p w14:paraId="526C711B">
      <w:pPr>
        <w:pStyle w:val="4"/>
        <w:widowControl w:val="0"/>
        <w:numPr>
          <w:ilvl w:val="0"/>
          <w:numId w:val="0"/>
        </w:numPr>
        <w:spacing w:before="100" w:after="100" w:line="240" w:lineRule="auto"/>
        <w:ind w:leftChars="0"/>
        <w:jc w:val="both"/>
        <w:rPr>
          <w:rStyle w:val="5"/>
          <w:rFonts w:hint="eastAsia"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 w:eastAsia="宋体"/>
          <w:color w:val="auto"/>
          <w:sz w:val="24"/>
          <w:szCs w:val="24"/>
          <w:lang w:val="en-US" w:eastAsia="zh-CN"/>
        </w:rPr>
        <w:t xml:space="preserve">3.6 </w:t>
      </w:r>
      <w:r>
        <w:rPr>
          <w:rStyle w:val="5"/>
          <w:rFonts w:hint="eastAsia" w:ascii="华文宋体" w:hAnsi="华文宋体"/>
          <w:color w:val="auto"/>
          <w:sz w:val="24"/>
          <w:szCs w:val="24"/>
        </w:rPr>
        <w:t>比色皿类型：微量可回收比色皿</w:t>
      </w:r>
    </w:p>
    <w:p w14:paraId="63BD87B9">
      <w:pPr>
        <w:pStyle w:val="4"/>
        <w:widowControl w:val="0"/>
        <w:numPr>
          <w:ilvl w:val="0"/>
          <w:numId w:val="0"/>
        </w:num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</w:tabs>
        <w:spacing w:before="100" w:after="100" w:line="240" w:lineRule="auto"/>
        <w:ind w:leftChars="0"/>
        <w:jc w:val="both"/>
        <w:rPr>
          <w:rStyle w:val="5"/>
          <w:rFonts w:hint="eastAsia" w:ascii="华文宋体" w:hAnsi="华文宋体"/>
          <w:color w:val="auto"/>
          <w:sz w:val="24"/>
          <w:szCs w:val="24"/>
        </w:rPr>
      </w:pPr>
      <w:r>
        <w:rPr>
          <w:rStyle w:val="5"/>
          <w:rFonts w:hint="eastAsia" w:ascii="华文宋体" w:hAnsi="华文宋体"/>
          <w:color w:val="auto"/>
          <w:sz w:val="24"/>
          <w:szCs w:val="24"/>
        </w:rPr>
        <w:t>四、产品配置清单</w:t>
      </w:r>
    </w:p>
    <w:tbl>
      <w:tblPr>
        <w:tblStyle w:val="2"/>
        <w:tblW w:w="6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077"/>
      </w:tblGrid>
      <w:tr w14:paraId="12FC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2EFD54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物品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D1B49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件数</w:t>
            </w:r>
          </w:p>
        </w:tc>
      </w:tr>
      <w:tr w14:paraId="6D11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1D2F05D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K5800C微量分光光度计主机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874B1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1台</w:t>
            </w:r>
          </w:p>
        </w:tc>
      </w:tr>
      <w:tr w14:paraId="4172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791DC6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电源线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E3413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1根</w:t>
            </w:r>
          </w:p>
        </w:tc>
      </w:tr>
      <w:tr w14:paraId="0EEF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5D8B5C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电源适配器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1FBFF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1套</w:t>
            </w:r>
          </w:p>
        </w:tc>
      </w:tr>
      <w:tr w14:paraId="0AA3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739C12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保修卡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585B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1张</w:t>
            </w:r>
          </w:p>
        </w:tc>
      </w:tr>
      <w:tr w14:paraId="2901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6B4EC7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合格证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D10B2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1份</w:t>
            </w:r>
          </w:p>
        </w:tc>
      </w:tr>
      <w:tr w14:paraId="295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07E5709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质检报告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36502B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1份</w:t>
            </w:r>
          </w:p>
        </w:tc>
      </w:tr>
      <w:tr w14:paraId="029E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1320C6B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说明书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B39C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1份</w:t>
            </w:r>
          </w:p>
        </w:tc>
      </w:tr>
      <w:tr w14:paraId="1642A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607CDBE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比色皿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10738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djustRightInd w:val="0"/>
              <w:snapToGrid w:val="0"/>
              <w:spacing w:before="120" w:beforeLines="50" w:after="120" w:afterLines="50" w:line="240" w:lineRule="auto"/>
              <w:ind w:firstLine="480" w:firstLineChars="200"/>
              <w:jc w:val="both"/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Style w:val="5"/>
                <w:rFonts w:hint="eastAsia" w:ascii="华文宋体" w:hAnsi="华文宋体" w:eastAsia="Times New Roman" w:cs="Times New Roman"/>
                <w:color w:val="auto"/>
                <w:sz w:val="24"/>
                <w:szCs w:val="24"/>
                <w:u w:color="000000"/>
                <w:lang w:val="en-US" w:eastAsia="zh-CN" w:bidi="ar-SA"/>
              </w:rPr>
              <w:t>2只</w:t>
            </w:r>
          </w:p>
        </w:tc>
      </w:tr>
    </w:tbl>
    <w:p w14:paraId="06CA4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509AF"/>
    <w:multiLevelType w:val="singleLevel"/>
    <w:tmpl w:val="236509A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CD50B1"/>
    <w:multiLevelType w:val="multilevel"/>
    <w:tmpl w:val="43CD50B1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260" w:hanging="5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lvlText w:val="%6."/>
      <w:lvlJc w:val="left"/>
      <w:pPr>
        <w:ind w:left="2520" w:hanging="5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lvlText w:val="%9."/>
      <w:lvlJc w:val="left"/>
      <w:pPr>
        <w:ind w:left="3780" w:hanging="5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7EDB14D6"/>
    <w:rsid w:val="7ED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u w:color="000000"/>
      <w:lang w:val="en-US" w:eastAsia="zh-CN" w:bidi="ar-SA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2024-06-16T02:31:00Z</dcterms:created>
  <dc:creator>s影</dc:creator>
  <cp:lastModifiedBy>s影</cp:lastModifiedBy>
  <dcterms:modified xsi:type="dcterms:W3CDTF">2024-06-16T02:34:12Z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367269FE08EB43C39DB0813A8A76AE87_11</vt:lpwstr>
  </property>
</Properties>
</file>